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-765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</w:t>
      </w:r>
      <w:r>
        <w:rPr>
          <w:rFonts w:ascii="Times New Roman" w:eastAsia="Times New Roman" w:hAnsi="Times New Roman" w:cs="Times New Roman"/>
          <w:sz w:val="26"/>
          <w:szCs w:val="26"/>
        </w:rPr>
        <w:t>-002496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Позилова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Абдумалика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Хамитжановича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5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Позилов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1103 от 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.2023 г.</w:t>
      </w:r>
      <w:r>
        <w:rPr>
          <w:rFonts w:ascii="Times New Roman" w:eastAsia="Times New Roman" w:hAnsi="Times New Roman" w:cs="Times New Roman"/>
          <w:sz w:val="26"/>
          <w:szCs w:val="26"/>
        </w:rPr>
        <w:t>, вынесенного начальником межрайонной инспекции Федерального налоговой службы № 11 по Ханты-Мансийскому автономному округу -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10.10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Позилов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А.Х.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Позилова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А.Х.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Позилова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А.Х.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1103 от 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.2023 г., вступившего в законную си</w:t>
      </w:r>
      <w:r>
        <w:rPr>
          <w:rFonts w:ascii="Times New Roman" w:eastAsia="Times New Roman" w:hAnsi="Times New Roman" w:cs="Times New Roman"/>
          <w:sz w:val="26"/>
          <w:szCs w:val="26"/>
        </w:rPr>
        <w:t>лу 10.10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 № 86172400900158400002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Позилова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А.Х.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Позилова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А.Х.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Позилова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Абдумалика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Хамитжановича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0 000 (десять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0412365400695007652420180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765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